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6BB9">
      <w:pPr>
        <w:ind w:right="-92" w:rightChars="-44"/>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C7E5769">
      <w:pPr>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2026年度重点课题参考选题</w:t>
      </w:r>
    </w:p>
    <w:bookmarkEnd w:id="0"/>
    <w:p w14:paraId="055FB258">
      <w:pPr>
        <w:pStyle w:val="2"/>
        <w:rPr>
          <w:rFonts w:ascii="Times New Roman" w:hAnsi="Times New Roman"/>
        </w:rPr>
      </w:pPr>
    </w:p>
    <w:tbl>
      <w:tblPr>
        <w:tblStyle w:val="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63"/>
      </w:tblGrid>
      <w:tr w14:paraId="6E27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18F6AEA9">
            <w:pPr>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8363" w:type="dxa"/>
            <w:vAlign w:val="center"/>
          </w:tcPr>
          <w:p w14:paraId="3102895A">
            <w:pPr>
              <w:jc w:val="center"/>
              <w:rPr>
                <w:rFonts w:ascii="Times New Roman" w:hAnsi="Times New Roman" w:eastAsia="黑体" w:cs="Times New Roman"/>
                <w:sz w:val="24"/>
                <w:szCs w:val="24"/>
              </w:rPr>
            </w:pPr>
            <w:r>
              <w:rPr>
                <w:rFonts w:ascii="Times New Roman" w:hAnsi="Times New Roman" w:eastAsia="黑体" w:cs="Times New Roman"/>
                <w:sz w:val="24"/>
                <w:szCs w:val="24"/>
              </w:rPr>
              <w:t>课  题  名  称</w:t>
            </w:r>
          </w:p>
        </w:tc>
      </w:tr>
      <w:tr w14:paraId="53F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2F358C70">
            <w:pPr>
              <w:numPr>
                <w:ilvl w:val="0"/>
                <w:numId w:val="1"/>
              </w:numPr>
              <w:jc w:val="center"/>
              <w:rPr>
                <w:rFonts w:ascii="Times New Roman" w:hAnsi="Times New Roman" w:eastAsia="仿宋" w:cs="Times New Roman"/>
                <w:color w:val="000000" w:themeColor="text1"/>
                <w:sz w:val="24"/>
                <w:szCs w:val="24"/>
                <w14:textFill>
                  <w14:solidFill>
                    <w14:schemeClr w14:val="tx1"/>
                  </w14:solidFill>
                </w14:textFill>
              </w:rPr>
            </w:pPr>
          </w:p>
        </w:tc>
        <w:tc>
          <w:tcPr>
            <w:tcW w:w="8363" w:type="dxa"/>
            <w:vAlign w:val="center"/>
          </w:tcPr>
          <w:p w14:paraId="648C4DB8">
            <w:pP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关于推动我市黄金产业做大做强 延伸产业链条的对策研究</w:t>
            </w:r>
          </w:p>
        </w:tc>
      </w:tr>
      <w:tr w14:paraId="7945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39A4EDC9">
            <w:pPr>
              <w:numPr>
                <w:ilvl w:val="0"/>
                <w:numId w:val="1"/>
              </w:numPr>
              <w:jc w:val="center"/>
              <w:rPr>
                <w:rFonts w:ascii="Times New Roman" w:hAnsi="Times New Roman" w:eastAsia="仿宋" w:cs="Times New Roman"/>
                <w:sz w:val="24"/>
                <w:szCs w:val="24"/>
              </w:rPr>
            </w:pPr>
          </w:p>
        </w:tc>
        <w:tc>
          <w:tcPr>
            <w:tcW w:w="8363" w:type="dxa"/>
            <w:vAlign w:val="center"/>
          </w:tcPr>
          <w:p w14:paraId="125CBCC5">
            <w:pPr>
              <w:rPr>
                <w:rFonts w:ascii="Times New Roman" w:hAnsi="Times New Roman" w:eastAsia="仿宋" w:cs="Times New Roman"/>
                <w:sz w:val="24"/>
                <w:szCs w:val="24"/>
              </w:rPr>
            </w:pPr>
            <w:r>
              <w:rPr>
                <w:rFonts w:ascii="Times New Roman" w:hAnsi="Times New Roman" w:eastAsia="仿宋" w:cs="Times New Roman"/>
                <w:sz w:val="24"/>
                <w:szCs w:val="24"/>
              </w:rPr>
              <w:t>关于铜陵市“投资于人”撬动内需增长的思考与研究</w:t>
            </w:r>
          </w:p>
        </w:tc>
      </w:tr>
      <w:tr w14:paraId="771A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00BDDBC5">
            <w:pPr>
              <w:numPr>
                <w:ilvl w:val="0"/>
                <w:numId w:val="1"/>
              </w:numPr>
              <w:jc w:val="center"/>
              <w:rPr>
                <w:rFonts w:ascii="Times New Roman" w:hAnsi="Times New Roman" w:eastAsia="仿宋" w:cs="Times New Roman"/>
                <w:sz w:val="24"/>
                <w:szCs w:val="24"/>
              </w:rPr>
            </w:pPr>
          </w:p>
        </w:tc>
        <w:tc>
          <w:tcPr>
            <w:tcW w:w="8363" w:type="dxa"/>
            <w:vAlign w:val="center"/>
          </w:tcPr>
          <w:p w14:paraId="21A857BE">
            <w:pPr>
              <w:rPr>
                <w:rFonts w:ascii="Times New Roman" w:hAnsi="Times New Roman" w:eastAsia="仿宋" w:cs="Times New Roman"/>
                <w:sz w:val="24"/>
                <w:szCs w:val="24"/>
              </w:rPr>
            </w:pPr>
            <w:r>
              <w:rPr>
                <w:rFonts w:ascii="Times New Roman" w:hAnsi="Times New Roman" w:eastAsia="仿宋" w:cs="Times New Roman"/>
                <w:sz w:val="24"/>
                <w:szCs w:val="24"/>
              </w:rPr>
              <w:t>关于推进稀散金属提取提纯技术突破 打造全国重要的稀散金属制造基地研究</w:t>
            </w:r>
          </w:p>
        </w:tc>
      </w:tr>
      <w:tr w14:paraId="2982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5FDFBA71">
            <w:pPr>
              <w:numPr>
                <w:ilvl w:val="0"/>
                <w:numId w:val="1"/>
              </w:numPr>
              <w:jc w:val="center"/>
              <w:rPr>
                <w:rFonts w:ascii="Times New Roman" w:hAnsi="Times New Roman" w:eastAsia="仿宋" w:cs="Times New Roman"/>
                <w:sz w:val="24"/>
                <w:szCs w:val="24"/>
              </w:rPr>
            </w:pPr>
          </w:p>
        </w:tc>
        <w:tc>
          <w:tcPr>
            <w:tcW w:w="8363" w:type="dxa"/>
            <w:vAlign w:val="center"/>
          </w:tcPr>
          <w:p w14:paraId="0708AA41">
            <w:pPr>
              <w:rPr>
                <w:rFonts w:ascii="Times New Roman" w:hAnsi="Times New Roman" w:eastAsia="仿宋" w:cs="Times New Roman"/>
                <w:sz w:val="24"/>
                <w:szCs w:val="24"/>
              </w:rPr>
            </w:pPr>
            <w:r>
              <w:rPr>
                <w:rFonts w:ascii="Times New Roman" w:hAnsi="Times New Roman" w:eastAsia="仿宋" w:cs="Times New Roman"/>
                <w:sz w:val="24"/>
                <w:szCs w:val="24"/>
              </w:rPr>
              <w:t>关于加快培育铜陵特色生物医药产业推动细分领域高质量发展的对策研究</w:t>
            </w:r>
          </w:p>
        </w:tc>
      </w:tr>
      <w:tr w14:paraId="379F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11944A67">
            <w:pPr>
              <w:numPr>
                <w:ilvl w:val="0"/>
                <w:numId w:val="1"/>
              </w:numPr>
              <w:jc w:val="center"/>
              <w:rPr>
                <w:rFonts w:ascii="Times New Roman" w:hAnsi="Times New Roman" w:eastAsia="仿宋" w:cs="Times New Roman"/>
                <w:sz w:val="24"/>
                <w:szCs w:val="24"/>
              </w:rPr>
            </w:pPr>
          </w:p>
        </w:tc>
        <w:tc>
          <w:tcPr>
            <w:tcW w:w="8363" w:type="dxa"/>
            <w:vAlign w:val="center"/>
          </w:tcPr>
          <w:p w14:paraId="5F52A4BD">
            <w:pPr>
              <w:rPr>
                <w:rFonts w:ascii="Times New Roman" w:hAnsi="Times New Roman" w:eastAsia="仿宋" w:cs="Times New Roman"/>
                <w:sz w:val="24"/>
                <w:szCs w:val="24"/>
              </w:rPr>
            </w:pPr>
            <w:r>
              <w:rPr>
                <w:rFonts w:ascii="Times New Roman" w:hAnsi="Times New Roman" w:eastAsia="仿宋" w:cs="Times New Roman"/>
                <w:sz w:val="24"/>
                <w:szCs w:val="24"/>
              </w:rPr>
              <w:t>关于“十五五”期间我市推进上市公司高质量发展研究</w:t>
            </w:r>
          </w:p>
        </w:tc>
      </w:tr>
      <w:tr w14:paraId="77F6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7E88FBC7">
            <w:pPr>
              <w:numPr>
                <w:ilvl w:val="0"/>
                <w:numId w:val="1"/>
              </w:numPr>
              <w:jc w:val="center"/>
              <w:rPr>
                <w:rFonts w:ascii="Times New Roman" w:hAnsi="Times New Roman" w:eastAsia="仿宋" w:cs="Times New Roman"/>
                <w:sz w:val="24"/>
                <w:szCs w:val="24"/>
              </w:rPr>
            </w:pPr>
          </w:p>
        </w:tc>
        <w:tc>
          <w:tcPr>
            <w:tcW w:w="8363" w:type="dxa"/>
            <w:vAlign w:val="center"/>
          </w:tcPr>
          <w:p w14:paraId="5B607D45">
            <w:pPr>
              <w:rPr>
                <w:rFonts w:ascii="Times New Roman" w:hAnsi="Times New Roman" w:eastAsia="仿宋" w:cs="Times New Roman"/>
                <w:sz w:val="24"/>
                <w:szCs w:val="24"/>
              </w:rPr>
            </w:pPr>
            <w:r>
              <w:rPr>
                <w:rFonts w:hint="eastAsia" w:ascii="Times New Roman" w:hAnsi="Times New Roman" w:eastAsia="仿宋" w:cs="Times New Roman"/>
                <w:sz w:val="24"/>
                <w:szCs w:val="24"/>
              </w:rPr>
              <w:t>关于推进文旅深度融合发展全域旅游 打造长三角特色休闲旅游目的地研究</w:t>
            </w:r>
          </w:p>
        </w:tc>
      </w:tr>
      <w:tr w14:paraId="7B1E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41C09D6A">
            <w:pPr>
              <w:numPr>
                <w:ilvl w:val="0"/>
                <w:numId w:val="1"/>
              </w:numPr>
              <w:jc w:val="center"/>
              <w:rPr>
                <w:rFonts w:ascii="Times New Roman" w:hAnsi="Times New Roman" w:eastAsia="仿宋" w:cs="Times New Roman"/>
                <w:sz w:val="24"/>
                <w:szCs w:val="24"/>
              </w:rPr>
            </w:pPr>
          </w:p>
        </w:tc>
        <w:tc>
          <w:tcPr>
            <w:tcW w:w="8363" w:type="dxa"/>
            <w:vAlign w:val="center"/>
          </w:tcPr>
          <w:p w14:paraId="5506A74A">
            <w:pPr>
              <w:rPr>
                <w:rFonts w:ascii="Times New Roman" w:hAnsi="Times New Roman" w:eastAsia="仿宋" w:cs="Times New Roman"/>
                <w:sz w:val="24"/>
                <w:szCs w:val="24"/>
              </w:rPr>
            </w:pPr>
            <w:r>
              <w:rPr>
                <w:rFonts w:ascii="Times New Roman" w:hAnsi="Times New Roman" w:eastAsia="仿宋" w:cs="Times New Roman"/>
                <w:sz w:val="24"/>
                <w:szCs w:val="24"/>
              </w:rPr>
              <w:t>关于铜陵茶产业发展</w:t>
            </w:r>
            <w:r>
              <w:rPr>
                <w:rFonts w:hint="eastAsia" w:ascii="Times New Roman" w:hAnsi="Times New Roman" w:eastAsia="仿宋" w:cs="Times New Roman"/>
                <w:sz w:val="24"/>
                <w:szCs w:val="24"/>
              </w:rPr>
              <w:t>的</w:t>
            </w:r>
            <w:r>
              <w:rPr>
                <w:rFonts w:ascii="Times New Roman" w:hAnsi="Times New Roman" w:eastAsia="仿宋" w:cs="Times New Roman"/>
                <w:sz w:val="24"/>
                <w:szCs w:val="24"/>
              </w:rPr>
              <w:t>研究</w:t>
            </w:r>
          </w:p>
        </w:tc>
      </w:tr>
      <w:tr w14:paraId="2651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632FF3D8">
            <w:pPr>
              <w:numPr>
                <w:ilvl w:val="0"/>
                <w:numId w:val="1"/>
              </w:numPr>
              <w:jc w:val="center"/>
              <w:rPr>
                <w:rFonts w:ascii="Times New Roman" w:hAnsi="Times New Roman" w:eastAsia="仿宋" w:cs="Times New Roman"/>
                <w:sz w:val="24"/>
                <w:szCs w:val="24"/>
              </w:rPr>
            </w:pPr>
          </w:p>
        </w:tc>
        <w:tc>
          <w:tcPr>
            <w:tcW w:w="8363" w:type="dxa"/>
            <w:vAlign w:val="center"/>
          </w:tcPr>
          <w:p w14:paraId="62BF21F1">
            <w:pPr>
              <w:rPr>
                <w:rFonts w:ascii="Times New Roman" w:hAnsi="Times New Roman" w:eastAsia="仿宋" w:cs="Times New Roman"/>
                <w:sz w:val="24"/>
                <w:szCs w:val="24"/>
              </w:rPr>
            </w:pPr>
            <w:r>
              <w:rPr>
                <w:rFonts w:ascii="Times New Roman" w:hAnsi="Times New Roman" w:eastAsia="仿宋" w:cs="Times New Roman"/>
                <w:sz w:val="24"/>
                <w:szCs w:val="24"/>
              </w:rPr>
              <w:t>关于我市尾矿资源综合利用的对策建议</w:t>
            </w:r>
          </w:p>
        </w:tc>
      </w:tr>
      <w:tr w14:paraId="6174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5DFEB84B">
            <w:pPr>
              <w:numPr>
                <w:ilvl w:val="0"/>
                <w:numId w:val="1"/>
              </w:numPr>
              <w:jc w:val="center"/>
              <w:rPr>
                <w:rFonts w:ascii="Times New Roman" w:hAnsi="Times New Roman" w:eastAsia="仿宋" w:cs="Times New Roman"/>
                <w:sz w:val="24"/>
                <w:szCs w:val="24"/>
              </w:rPr>
            </w:pPr>
          </w:p>
        </w:tc>
        <w:tc>
          <w:tcPr>
            <w:tcW w:w="8363" w:type="dxa"/>
            <w:vAlign w:val="center"/>
          </w:tcPr>
          <w:p w14:paraId="1E7F28A4">
            <w:pPr>
              <w:rPr>
                <w:rFonts w:ascii="Times New Roman" w:hAnsi="Times New Roman" w:eastAsia="仿宋" w:cs="Times New Roman"/>
                <w:sz w:val="24"/>
                <w:szCs w:val="24"/>
              </w:rPr>
            </w:pPr>
            <w:r>
              <w:rPr>
                <w:rFonts w:ascii="Times New Roman" w:hAnsi="Times New Roman" w:eastAsia="仿宋" w:cs="Times New Roman"/>
                <w:sz w:val="24"/>
                <w:szCs w:val="24"/>
              </w:rPr>
              <w:t>关于铜陵加快打造皖美消费新场景的建议</w:t>
            </w:r>
          </w:p>
        </w:tc>
      </w:tr>
      <w:tr w14:paraId="174B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13D0424B">
            <w:pPr>
              <w:numPr>
                <w:ilvl w:val="0"/>
                <w:numId w:val="1"/>
              </w:numPr>
              <w:jc w:val="center"/>
              <w:rPr>
                <w:rFonts w:ascii="Times New Roman" w:hAnsi="Times New Roman" w:eastAsia="仿宋" w:cs="Times New Roman"/>
                <w:sz w:val="24"/>
                <w:szCs w:val="24"/>
              </w:rPr>
            </w:pPr>
          </w:p>
        </w:tc>
        <w:tc>
          <w:tcPr>
            <w:tcW w:w="8363" w:type="dxa"/>
            <w:vAlign w:val="center"/>
          </w:tcPr>
          <w:p w14:paraId="4DBB01F7">
            <w:pPr>
              <w:rPr>
                <w:rFonts w:ascii="Times New Roman" w:hAnsi="Times New Roman" w:eastAsia="仿宋" w:cs="Times New Roman"/>
                <w:sz w:val="24"/>
                <w:szCs w:val="24"/>
              </w:rPr>
            </w:pPr>
            <w:r>
              <w:rPr>
                <w:rFonts w:ascii="Times New Roman" w:hAnsi="Times New Roman" w:eastAsia="仿宋" w:cs="Times New Roman"/>
                <w:sz w:val="24"/>
                <w:szCs w:val="24"/>
              </w:rPr>
              <w:t>关于有效市场与有为政府结合下的铜陵产业政策精准供给机制研究</w:t>
            </w:r>
          </w:p>
        </w:tc>
      </w:tr>
      <w:tr w14:paraId="45B4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3AE06F09">
            <w:pPr>
              <w:numPr>
                <w:ilvl w:val="0"/>
                <w:numId w:val="1"/>
              </w:numPr>
              <w:jc w:val="center"/>
              <w:rPr>
                <w:rFonts w:ascii="Times New Roman" w:hAnsi="Times New Roman" w:eastAsia="仿宋" w:cs="Times New Roman"/>
                <w:sz w:val="24"/>
                <w:szCs w:val="24"/>
              </w:rPr>
            </w:pPr>
          </w:p>
        </w:tc>
        <w:tc>
          <w:tcPr>
            <w:tcW w:w="8363" w:type="dxa"/>
            <w:vAlign w:val="center"/>
          </w:tcPr>
          <w:p w14:paraId="77E3B234">
            <w:pPr>
              <w:rPr>
                <w:rFonts w:ascii="Times New Roman" w:hAnsi="Times New Roman" w:eastAsia="仿宋" w:cs="Times New Roman"/>
                <w:sz w:val="24"/>
                <w:szCs w:val="24"/>
              </w:rPr>
            </w:pPr>
            <w:r>
              <w:rPr>
                <w:rFonts w:ascii="Times New Roman" w:hAnsi="Times New Roman" w:eastAsia="仿宋" w:cs="Times New Roman"/>
                <w:sz w:val="24"/>
                <w:szCs w:val="24"/>
              </w:rPr>
              <w:t>关于铜陵市片区化推进和美乡村建设的研究</w:t>
            </w:r>
          </w:p>
        </w:tc>
      </w:tr>
      <w:tr w14:paraId="1394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074A2EDD">
            <w:pPr>
              <w:numPr>
                <w:ilvl w:val="0"/>
                <w:numId w:val="1"/>
              </w:numPr>
              <w:jc w:val="center"/>
              <w:rPr>
                <w:rFonts w:ascii="Times New Roman" w:hAnsi="Times New Roman" w:eastAsia="仿宋" w:cs="Times New Roman"/>
                <w:sz w:val="24"/>
                <w:szCs w:val="24"/>
              </w:rPr>
            </w:pPr>
          </w:p>
        </w:tc>
        <w:tc>
          <w:tcPr>
            <w:tcW w:w="8363" w:type="dxa"/>
            <w:vAlign w:val="center"/>
          </w:tcPr>
          <w:p w14:paraId="65260427">
            <w:pPr>
              <w:rPr>
                <w:rFonts w:ascii="Times New Roman" w:hAnsi="Times New Roman" w:eastAsia="仿宋" w:cs="Times New Roman"/>
                <w:sz w:val="24"/>
                <w:szCs w:val="24"/>
              </w:rPr>
            </w:pPr>
            <w:r>
              <w:rPr>
                <w:rFonts w:ascii="Times New Roman" w:hAnsi="Times New Roman" w:eastAsia="仿宋" w:cs="Times New Roman"/>
                <w:sz w:val="24"/>
                <w:szCs w:val="24"/>
              </w:rPr>
              <w:t>关于城市更新背景下城市公园发展路径研究</w:t>
            </w:r>
          </w:p>
        </w:tc>
      </w:tr>
      <w:tr w14:paraId="0CB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1F259957">
            <w:pPr>
              <w:numPr>
                <w:ilvl w:val="0"/>
                <w:numId w:val="1"/>
              </w:numPr>
              <w:jc w:val="center"/>
              <w:rPr>
                <w:rFonts w:ascii="Times New Roman" w:hAnsi="Times New Roman" w:eastAsia="仿宋" w:cs="Times New Roman"/>
                <w:sz w:val="24"/>
                <w:szCs w:val="24"/>
              </w:rPr>
            </w:pPr>
          </w:p>
        </w:tc>
        <w:tc>
          <w:tcPr>
            <w:tcW w:w="8363" w:type="dxa"/>
            <w:vAlign w:val="center"/>
          </w:tcPr>
          <w:p w14:paraId="5F85C047">
            <w:pPr>
              <w:rPr>
                <w:rFonts w:ascii="Times New Roman" w:hAnsi="Times New Roman" w:eastAsia="仿宋" w:cs="Times New Roman"/>
                <w:sz w:val="24"/>
                <w:szCs w:val="24"/>
              </w:rPr>
            </w:pPr>
            <w:r>
              <w:rPr>
                <w:rFonts w:ascii="Times New Roman" w:hAnsi="Times New Roman" w:eastAsia="仿宋" w:cs="Times New Roman"/>
                <w:sz w:val="24"/>
                <w:szCs w:val="24"/>
              </w:rPr>
              <w:t>关于铜陵市推进排污权交易问题剖析与对策研究</w:t>
            </w:r>
          </w:p>
        </w:tc>
      </w:tr>
      <w:tr w14:paraId="04F9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0AB4488F">
            <w:pPr>
              <w:numPr>
                <w:ilvl w:val="0"/>
                <w:numId w:val="1"/>
              </w:numPr>
              <w:jc w:val="center"/>
              <w:rPr>
                <w:rFonts w:ascii="Times New Roman" w:hAnsi="Times New Roman" w:eastAsia="仿宋" w:cs="Times New Roman"/>
                <w:sz w:val="24"/>
                <w:szCs w:val="24"/>
              </w:rPr>
            </w:pPr>
          </w:p>
        </w:tc>
        <w:tc>
          <w:tcPr>
            <w:tcW w:w="8363" w:type="dxa"/>
            <w:vAlign w:val="center"/>
          </w:tcPr>
          <w:p w14:paraId="3E75A444">
            <w:pPr>
              <w:rPr>
                <w:rFonts w:ascii="Times New Roman" w:hAnsi="Times New Roman" w:eastAsia="仿宋" w:cs="Times New Roman"/>
                <w:sz w:val="24"/>
                <w:szCs w:val="24"/>
              </w:rPr>
            </w:pPr>
            <w:r>
              <w:rPr>
                <w:rFonts w:ascii="Times New Roman" w:hAnsi="Times New Roman" w:eastAsia="仿宋" w:cs="Times New Roman"/>
                <w:sz w:val="24"/>
                <w:szCs w:val="24"/>
              </w:rPr>
              <w:t>关于我市电竞酒店、剧本杀、私人影院等新兴行业监管问题的对策建议</w:t>
            </w:r>
          </w:p>
        </w:tc>
      </w:tr>
      <w:tr w14:paraId="4307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20B4181E">
            <w:pPr>
              <w:numPr>
                <w:ilvl w:val="0"/>
                <w:numId w:val="1"/>
              </w:numPr>
              <w:jc w:val="center"/>
              <w:rPr>
                <w:rFonts w:ascii="Times New Roman" w:hAnsi="Times New Roman" w:eastAsia="仿宋" w:cs="Times New Roman"/>
                <w:sz w:val="24"/>
                <w:szCs w:val="24"/>
              </w:rPr>
            </w:pPr>
          </w:p>
        </w:tc>
        <w:tc>
          <w:tcPr>
            <w:tcW w:w="8363" w:type="dxa"/>
            <w:vAlign w:val="center"/>
          </w:tcPr>
          <w:p w14:paraId="6916A219">
            <w:pPr>
              <w:rPr>
                <w:rFonts w:ascii="Times New Roman" w:hAnsi="Times New Roman" w:eastAsia="仿宋" w:cs="Times New Roman"/>
                <w:sz w:val="24"/>
                <w:szCs w:val="24"/>
              </w:rPr>
            </w:pPr>
            <w:r>
              <w:rPr>
                <w:rFonts w:ascii="Times New Roman" w:hAnsi="Times New Roman" w:eastAsia="仿宋" w:cs="Times New Roman"/>
                <w:sz w:val="24"/>
                <w:szCs w:val="24"/>
              </w:rPr>
              <w:t>关于普济圩农文旅融合发展的对策建议</w:t>
            </w:r>
          </w:p>
        </w:tc>
      </w:tr>
      <w:tr w14:paraId="3959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3B0D99FA">
            <w:pPr>
              <w:numPr>
                <w:ilvl w:val="0"/>
                <w:numId w:val="1"/>
              </w:numPr>
              <w:jc w:val="center"/>
              <w:rPr>
                <w:rFonts w:ascii="Times New Roman" w:hAnsi="Times New Roman" w:eastAsia="仿宋" w:cs="Times New Roman"/>
                <w:sz w:val="24"/>
                <w:szCs w:val="24"/>
              </w:rPr>
            </w:pPr>
          </w:p>
        </w:tc>
        <w:tc>
          <w:tcPr>
            <w:tcW w:w="8363" w:type="dxa"/>
            <w:vAlign w:val="center"/>
          </w:tcPr>
          <w:p w14:paraId="7F660F75">
            <w:pPr>
              <w:rPr>
                <w:rFonts w:ascii="Times New Roman" w:hAnsi="Times New Roman" w:eastAsia="仿宋" w:cs="Times New Roman"/>
                <w:sz w:val="24"/>
                <w:szCs w:val="24"/>
              </w:rPr>
            </w:pPr>
            <w:r>
              <w:rPr>
                <w:rFonts w:ascii="Times New Roman" w:hAnsi="Times New Roman" w:eastAsia="仿宋" w:cs="Times New Roman"/>
                <w:sz w:val="24"/>
                <w:szCs w:val="24"/>
              </w:rPr>
              <w:t>关于建立城市快速通道 完善城区交通体系的对策研究</w:t>
            </w:r>
          </w:p>
        </w:tc>
      </w:tr>
      <w:tr w14:paraId="4A6A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52FF8A89">
            <w:pPr>
              <w:numPr>
                <w:ilvl w:val="0"/>
                <w:numId w:val="1"/>
              </w:numPr>
              <w:jc w:val="center"/>
              <w:rPr>
                <w:rFonts w:ascii="Times New Roman" w:hAnsi="Times New Roman" w:eastAsia="仿宋" w:cs="Times New Roman"/>
                <w:sz w:val="24"/>
                <w:szCs w:val="24"/>
              </w:rPr>
            </w:pPr>
          </w:p>
        </w:tc>
        <w:tc>
          <w:tcPr>
            <w:tcW w:w="8363" w:type="dxa"/>
            <w:vAlign w:val="center"/>
          </w:tcPr>
          <w:p w14:paraId="471A23F1">
            <w:pPr>
              <w:rPr>
                <w:rFonts w:ascii="Times New Roman" w:hAnsi="Times New Roman" w:eastAsia="仿宋" w:cs="Times New Roman"/>
                <w:sz w:val="24"/>
                <w:szCs w:val="24"/>
              </w:rPr>
            </w:pPr>
            <w:r>
              <w:rPr>
                <w:rFonts w:ascii="Times New Roman" w:hAnsi="Times New Roman" w:eastAsia="仿宋" w:cs="Times New Roman"/>
                <w:sz w:val="24"/>
                <w:szCs w:val="24"/>
              </w:rPr>
              <w:t>关于铜价上涨原因及对铜产业影响的对策研究</w:t>
            </w:r>
          </w:p>
        </w:tc>
      </w:tr>
      <w:tr w14:paraId="524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44309499">
            <w:pPr>
              <w:numPr>
                <w:ilvl w:val="0"/>
                <w:numId w:val="1"/>
              </w:numPr>
              <w:jc w:val="center"/>
              <w:rPr>
                <w:rFonts w:ascii="Times New Roman" w:hAnsi="Times New Roman" w:eastAsia="仿宋" w:cs="Times New Roman"/>
                <w:color w:val="000000" w:themeColor="text1"/>
                <w:sz w:val="24"/>
                <w:szCs w:val="24"/>
                <w14:textFill>
                  <w14:solidFill>
                    <w14:schemeClr w14:val="tx1"/>
                  </w14:solidFill>
                </w14:textFill>
              </w:rPr>
            </w:pPr>
          </w:p>
        </w:tc>
        <w:tc>
          <w:tcPr>
            <w:tcW w:w="8363" w:type="dxa"/>
            <w:vAlign w:val="center"/>
          </w:tcPr>
          <w:p w14:paraId="299E5DEA">
            <w:pP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关于充分利用铁路运能，拓展对外运输新通道的建议</w:t>
            </w:r>
          </w:p>
        </w:tc>
      </w:tr>
      <w:tr w14:paraId="2F17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1487B81E">
            <w:pPr>
              <w:numPr>
                <w:ilvl w:val="0"/>
                <w:numId w:val="1"/>
              </w:numPr>
              <w:jc w:val="center"/>
              <w:rPr>
                <w:rFonts w:ascii="Times New Roman" w:hAnsi="Times New Roman" w:eastAsia="仿宋" w:cs="Times New Roman"/>
                <w:sz w:val="24"/>
                <w:szCs w:val="24"/>
              </w:rPr>
            </w:pPr>
          </w:p>
        </w:tc>
        <w:tc>
          <w:tcPr>
            <w:tcW w:w="8363" w:type="dxa"/>
            <w:vAlign w:val="center"/>
          </w:tcPr>
          <w:p w14:paraId="4EB59EFC">
            <w:pPr>
              <w:rPr>
                <w:rFonts w:ascii="Times New Roman" w:hAnsi="Times New Roman" w:eastAsia="仿宋" w:cs="Times New Roman"/>
                <w:sz w:val="24"/>
                <w:szCs w:val="24"/>
              </w:rPr>
            </w:pPr>
            <w:r>
              <w:rPr>
                <w:rFonts w:ascii="Times New Roman" w:hAnsi="Times New Roman" w:eastAsia="仿宋" w:cs="Times New Roman"/>
                <w:sz w:val="24"/>
                <w:szCs w:val="24"/>
              </w:rPr>
              <w:t>关于我市矿权出让收益情况的调查研究</w:t>
            </w:r>
          </w:p>
        </w:tc>
      </w:tr>
      <w:tr w14:paraId="2942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6420C623">
            <w:pPr>
              <w:numPr>
                <w:ilvl w:val="0"/>
                <w:numId w:val="1"/>
              </w:numPr>
              <w:jc w:val="center"/>
              <w:rPr>
                <w:rFonts w:ascii="Times New Roman" w:hAnsi="Times New Roman" w:eastAsia="仿宋" w:cs="Times New Roman"/>
                <w:sz w:val="24"/>
                <w:szCs w:val="24"/>
              </w:rPr>
            </w:pPr>
          </w:p>
        </w:tc>
        <w:tc>
          <w:tcPr>
            <w:tcW w:w="8363" w:type="dxa"/>
            <w:vAlign w:val="center"/>
          </w:tcPr>
          <w:p w14:paraId="7FB833F2">
            <w:pPr>
              <w:rPr>
                <w:rFonts w:ascii="Times New Roman" w:hAnsi="Times New Roman" w:eastAsia="仿宋" w:cs="Times New Roman"/>
                <w:sz w:val="24"/>
                <w:szCs w:val="24"/>
              </w:rPr>
            </w:pPr>
            <w:r>
              <w:rPr>
                <w:rFonts w:ascii="Times New Roman" w:hAnsi="Times New Roman" w:eastAsia="仿宋" w:cs="Times New Roman"/>
                <w:sz w:val="24"/>
                <w:szCs w:val="24"/>
              </w:rPr>
              <w:t>关于优化营商环境助推实体经济发展的对策研究</w:t>
            </w:r>
          </w:p>
        </w:tc>
      </w:tr>
      <w:tr w14:paraId="1F55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360B9196">
            <w:pPr>
              <w:numPr>
                <w:ilvl w:val="0"/>
                <w:numId w:val="1"/>
              </w:numPr>
              <w:jc w:val="center"/>
              <w:rPr>
                <w:rFonts w:ascii="Times New Roman" w:hAnsi="Times New Roman" w:eastAsia="仿宋" w:cs="Times New Roman"/>
                <w:sz w:val="24"/>
                <w:szCs w:val="24"/>
              </w:rPr>
            </w:pPr>
          </w:p>
        </w:tc>
        <w:tc>
          <w:tcPr>
            <w:tcW w:w="8363" w:type="dxa"/>
            <w:vAlign w:val="center"/>
          </w:tcPr>
          <w:p w14:paraId="576B95EC">
            <w:pPr>
              <w:rPr>
                <w:rFonts w:ascii="Times New Roman" w:hAnsi="Times New Roman" w:eastAsia="仿宋" w:cs="Times New Roman"/>
                <w:sz w:val="24"/>
                <w:szCs w:val="24"/>
              </w:rPr>
            </w:pPr>
            <w:r>
              <w:rPr>
                <w:rFonts w:ascii="Times New Roman" w:hAnsi="Times New Roman" w:eastAsia="仿宋" w:cs="Times New Roman"/>
                <w:sz w:val="24"/>
                <w:szCs w:val="24"/>
              </w:rPr>
              <w:t>关于铜陵市社区嵌入式养老服务机构可持续运营机制研究</w:t>
            </w:r>
          </w:p>
        </w:tc>
      </w:tr>
      <w:tr w14:paraId="4759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Align w:val="center"/>
          </w:tcPr>
          <w:p w14:paraId="491358BA">
            <w:pPr>
              <w:numPr>
                <w:ilvl w:val="0"/>
                <w:numId w:val="1"/>
              </w:numPr>
              <w:jc w:val="center"/>
              <w:rPr>
                <w:rFonts w:ascii="Times New Roman" w:hAnsi="Times New Roman" w:eastAsia="仿宋" w:cs="Times New Roman"/>
                <w:sz w:val="24"/>
                <w:szCs w:val="24"/>
              </w:rPr>
            </w:pPr>
          </w:p>
        </w:tc>
        <w:tc>
          <w:tcPr>
            <w:tcW w:w="8363" w:type="dxa"/>
            <w:vAlign w:val="center"/>
          </w:tcPr>
          <w:p w14:paraId="126FA3AF">
            <w:pPr>
              <w:rPr>
                <w:rFonts w:ascii="Times New Roman" w:hAnsi="Times New Roman" w:eastAsia="仿宋" w:cs="Times New Roman"/>
                <w:sz w:val="24"/>
                <w:szCs w:val="24"/>
              </w:rPr>
            </w:pPr>
            <w:r>
              <w:rPr>
                <w:rFonts w:hint="eastAsia" w:ascii="Times New Roman" w:hAnsi="Times New Roman" w:eastAsia="仿宋" w:cs="Times New Roman"/>
                <w:sz w:val="24"/>
                <w:szCs w:val="24"/>
              </w:rPr>
              <w:t>关于加强交通事故预防推进路口交通治理的研究</w:t>
            </w:r>
          </w:p>
        </w:tc>
      </w:tr>
    </w:tbl>
    <w:p w14:paraId="66E91D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39703"/>
    <w:multiLevelType w:val="singleLevel"/>
    <w:tmpl w:val="F9239703"/>
    <w:lvl w:ilvl="0" w:tentative="0">
      <w:start w:val="1"/>
      <w:numFmt w:val="decimal"/>
      <w:suff w:val="nothing"/>
      <w:lvlText w:val="%1"/>
      <w:lvlJc w:val="left"/>
      <w:pPr>
        <w:ind w:left="44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92FFC"/>
    <w:rsid w:val="73A9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ind w:left="420" w:leftChars="200"/>
    </w:pPr>
    <w:rPr>
      <w:rFonts w:ascii="Calibri" w:hAnsi="Calibri" w:eastAsia="宋体" w:cs="Times New Roman"/>
    </w:rPr>
  </w:style>
  <w:style w:type="paragraph" w:styleId="4">
    <w:name w:val="envelope return"/>
    <w:basedOn w:val="1"/>
    <w:unhideWhenUsed/>
    <w:qFormat/>
    <w:uiPriority w:val="99"/>
    <w:pPr>
      <w:snapToGrid w:val="0"/>
    </w:pPr>
    <w:rPr>
      <w:rFonts w:ascii="Arial" w:hAnsi="Arial" w:eastAsia="仿宋_GB2312" w:cs="Times New Roman"/>
      <w:sz w:val="32"/>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2026-03-16T07:31:00Z</dcterms:created>
  <dc:creator>美美</dc:creator>
  <cp:lastModifiedBy>美美</cp:lastModifiedBy>
  <dcterms:modified xsi:type="dcterms:W3CDTF">2026-03-16T07:31:38Z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CED700C64AD74E6BBA06EB0DA55FD3D3_11</vt:lpwstr>
  </property>
  <property fmtid="{D5CDD505-2E9C-101B-9397-08002B2CF9AE}" pid="4" name="KSOTemplateDocerSaveRecord">
    <vt:lpwstr>eyJoZGlkIjoiZjFhNjgwMjg5NzMzYTc4NThmOWM0MTVhNjMzMjFiZjIiLCJ1c2VySWQiOiIzMDAyMzY3NTkifQ==</vt:lpwstr>
  </property>
</Properties>
</file>